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1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2002"/>
        <w:gridCol w:w="2548"/>
        <w:gridCol w:w="4823"/>
        <w:gridCol w:w="1638"/>
      </w:tblGrid>
      <w:tr w:rsidR="00276E87" w:rsidRPr="00276E87" w:rsidTr="00FB0505">
        <w:trPr>
          <w:trHeight w:val="333"/>
        </w:trPr>
        <w:tc>
          <w:tcPr>
            <w:tcW w:w="2002" w:type="dxa"/>
            <w:shd w:val="clear" w:color="auto" w:fill="auto"/>
            <w:hideMark/>
          </w:tcPr>
          <w:p w:rsidR="00C308C2" w:rsidRPr="00C308C2" w:rsidRDefault="00C308C2" w:rsidP="004C2064">
            <w:pPr>
              <w:spacing w:after="0" w:line="240" w:lineRule="auto"/>
              <w:rPr>
                <w:rFonts w:eastAsia="Times New Roman" w:cs="Times New Roman"/>
                <w:u w:val="single"/>
              </w:rPr>
            </w:pPr>
            <w:r w:rsidRPr="004C2064">
              <w:rPr>
                <w:rFonts w:eastAsia="Times New Roman" w:cs="Times New Roman"/>
                <w:u w:val="single"/>
              </w:rPr>
              <w:t>Project Leader</w:t>
            </w:r>
          </w:p>
        </w:tc>
        <w:tc>
          <w:tcPr>
            <w:tcW w:w="2548" w:type="dxa"/>
            <w:shd w:val="clear" w:color="auto" w:fill="auto"/>
            <w:hideMark/>
          </w:tcPr>
          <w:p w:rsidR="00C308C2" w:rsidRPr="00C308C2" w:rsidRDefault="00C308C2" w:rsidP="004C2064">
            <w:pPr>
              <w:spacing w:after="0" w:line="240" w:lineRule="auto"/>
              <w:rPr>
                <w:rFonts w:eastAsia="Times New Roman" w:cs="Times New Roman"/>
                <w:u w:val="single"/>
              </w:rPr>
            </w:pPr>
            <w:r w:rsidRPr="004C2064">
              <w:rPr>
                <w:rFonts w:eastAsia="Times New Roman" w:cs="Times New Roman"/>
                <w:u w:val="single"/>
              </w:rPr>
              <w:t>Department</w:t>
            </w:r>
          </w:p>
        </w:tc>
        <w:tc>
          <w:tcPr>
            <w:tcW w:w="4823" w:type="dxa"/>
            <w:shd w:val="clear" w:color="auto" w:fill="auto"/>
            <w:hideMark/>
          </w:tcPr>
          <w:p w:rsidR="00C308C2" w:rsidRPr="00C308C2" w:rsidRDefault="00C308C2" w:rsidP="004C2064">
            <w:pPr>
              <w:spacing w:after="0" w:line="240" w:lineRule="auto"/>
              <w:jc w:val="center"/>
              <w:rPr>
                <w:rFonts w:eastAsia="Times New Roman" w:cs="Times New Roman"/>
                <w:u w:val="single"/>
              </w:rPr>
            </w:pPr>
            <w:r w:rsidRPr="00C308C2">
              <w:rPr>
                <w:rFonts w:eastAsia="Times New Roman" w:cs="Times New Roman"/>
                <w:u w:val="single"/>
              </w:rPr>
              <w:t>Project Title</w:t>
            </w:r>
          </w:p>
        </w:tc>
        <w:tc>
          <w:tcPr>
            <w:tcW w:w="1638" w:type="dxa"/>
            <w:shd w:val="clear" w:color="auto" w:fill="auto"/>
            <w:hideMark/>
          </w:tcPr>
          <w:p w:rsidR="00C308C2" w:rsidRPr="00C308C2" w:rsidRDefault="00C308C2" w:rsidP="004C2064">
            <w:pPr>
              <w:spacing w:after="0" w:line="240" w:lineRule="auto"/>
              <w:jc w:val="center"/>
              <w:rPr>
                <w:rFonts w:eastAsia="Times New Roman" w:cs="Times New Roman"/>
                <w:u w:val="single"/>
              </w:rPr>
            </w:pPr>
            <w:r w:rsidRPr="00C308C2">
              <w:rPr>
                <w:rFonts w:eastAsia="Times New Roman" w:cs="Times New Roman"/>
                <w:u w:val="single"/>
              </w:rPr>
              <w:t>Awarded Total</w:t>
            </w:r>
          </w:p>
        </w:tc>
      </w:tr>
      <w:tr w:rsidR="004C2064" w:rsidRPr="00276E87" w:rsidTr="00A63B2A">
        <w:trPr>
          <w:trHeight w:val="720"/>
        </w:trPr>
        <w:tc>
          <w:tcPr>
            <w:tcW w:w="2002" w:type="dxa"/>
            <w:shd w:val="clear" w:color="auto" w:fill="auto"/>
            <w:hideMark/>
          </w:tcPr>
          <w:p w:rsidR="004C2064" w:rsidRPr="00C308C2" w:rsidRDefault="00E22B74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Roberto </w:t>
            </w:r>
            <w:proofErr w:type="spellStart"/>
            <w:r>
              <w:rPr>
                <w:rFonts w:eastAsia="Times New Roman" w:cs="Times New Roman"/>
              </w:rPr>
              <w:t>Aspholm</w:t>
            </w:r>
            <w:proofErr w:type="spellEnd"/>
          </w:p>
        </w:tc>
        <w:tc>
          <w:tcPr>
            <w:tcW w:w="2548" w:type="dxa"/>
            <w:shd w:val="clear" w:color="auto" w:fill="auto"/>
          </w:tcPr>
          <w:p w:rsidR="004C2064" w:rsidRPr="00C308C2" w:rsidRDefault="00E22B74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College of Arts and Sciences </w:t>
            </w:r>
          </w:p>
        </w:tc>
        <w:tc>
          <w:tcPr>
            <w:tcW w:w="4823" w:type="dxa"/>
            <w:shd w:val="clear" w:color="auto" w:fill="auto"/>
            <w:hideMark/>
          </w:tcPr>
          <w:p w:rsidR="004C2064" w:rsidRPr="00C308C2" w:rsidRDefault="00E22B74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Street Gangs and Violence in the St. Louis Area: An Ethnographic Exploration </w:t>
            </w:r>
          </w:p>
        </w:tc>
        <w:tc>
          <w:tcPr>
            <w:tcW w:w="1638" w:type="dxa"/>
            <w:shd w:val="clear" w:color="auto" w:fill="auto"/>
            <w:hideMark/>
          </w:tcPr>
          <w:p w:rsidR="004C2064" w:rsidRPr="00C308C2" w:rsidRDefault="00AD5C21" w:rsidP="00E22B7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</w:t>
            </w:r>
            <w:r w:rsidR="00E22B74">
              <w:rPr>
                <w:rFonts w:eastAsia="Times New Roman" w:cs="Times New Roman"/>
              </w:rPr>
              <w:t>11,310</w:t>
            </w:r>
          </w:p>
        </w:tc>
      </w:tr>
      <w:tr w:rsidR="00E22B74" w:rsidRPr="00276E87" w:rsidTr="00A63B2A">
        <w:trPr>
          <w:trHeight w:val="900"/>
        </w:trPr>
        <w:tc>
          <w:tcPr>
            <w:tcW w:w="2002" w:type="dxa"/>
            <w:shd w:val="clear" w:color="auto" w:fill="auto"/>
          </w:tcPr>
          <w:p w:rsidR="00E22B74" w:rsidRDefault="00E22B74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Sarah </w:t>
            </w:r>
            <w:proofErr w:type="spellStart"/>
            <w:r>
              <w:rPr>
                <w:rFonts w:eastAsia="Times New Roman" w:cs="Times New Roman"/>
              </w:rPr>
              <w:t>Conoyer</w:t>
            </w:r>
            <w:proofErr w:type="spellEnd"/>
          </w:p>
        </w:tc>
        <w:tc>
          <w:tcPr>
            <w:tcW w:w="2548" w:type="dxa"/>
            <w:shd w:val="clear" w:color="auto" w:fill="auto"/>
          </w:tcPr>
          <w:p w:rsidR="00E22B74" w:rsidRDefault="00E22B74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School of Education, Health and Human Behavior</w:t>
            </w:r>
          </w:p>
        </w:tc>
        <w:tc>
          <w:tcPr>
            <w:tcW w:w="4823" w:type="dxa"/>
            <w:shd w:val="clear" w:color="auto" w:fill="auto"/>
          </w:tcPr>
          <w:p w:rsidR="00E22B74" w:rsidRPr="00C308C2" w:rsidRDefault="00E22B74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Monitoring Students’ Progress in Science Vocabulary: Development of the PASCAL system</w:t>
            </w:r>
          </w:p>
        </w:tc>
        <w:tc>
          <w:tcPr>
            <w:tcW w:w="1638" w:type="dxa"/>
            <w:shd w:val="clear" w:color="auto" w:fill="auto"/>
          </w:tcPr>
          <w:p w:rsidR="00E22B74" w:rsidRDefault="0025701D" w:rsidP="00E22B7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$15,996</w:t>
            </w:r>
          </w:p>
        </w:tc>
      </w:tr>
      <w:tr w:rsidR="00E22B74" w:rsidRPr="00276E87" w:rsidTr="00A63B2A">
        <w:trPr>
          <w:trHeight w:val="900"/>
        </w:trPr>
        <w:tc>
          <w:tcPr>
            <w:tcW w:w="2002" w:type="dxa"/>
            <w:shd w:val="clear" w:color="auto" w:fill="auto"/>
          </w:tcPr>
          <w:p w:rsidR="00E22B74" w:rsidRDefault="00E22B74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Maria Fernandez del Valle</w:t>
            </w:r>
          </w:p>
        </w:tc>
        <w:tc>
          <w:tcPr>
            <w:tcW w:w="2548" w:type="dxa"/>
            <w:shd w:val="clear" w:color="auto" w:fill="auto"/>
          </w:tcPr>
          <w:p w:rsidR="00E22B74" w:rsidRDefault="00E22B74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School of Education, Health and Human Behavior</w:t>
            </w:r>
          </w:p>
        </w:tc>
        <w:tc>
          <w:tcPr>
            <w:tcW w:w="4823" w:type="dxa"/>
            <w:shd w:val="clear" w:color="auto" w:fill="auto"/>
          </w:tcPr>
          <w:p w:rsidR="00E22B74" w:rsidRPr="00C308C2" w:rsidRDefault="0025701D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Effects of Exercise on Cardiac Fat and Function: The Role of Exercise Mode</w:t>
            </w:r>
          </w:p>
        </w:tc>
        <w:tc>
          <w:tcPr>
            <w:tcW w:w="1638" w:type="dxa"/>
            <w:shd w:val="clear" w:color="auto" w:fill="auto"/>
          </w:tcPr>
          <w:p w:rsidR="00E22B74" w:rsidRDefault="0025701D" w:rsidP="00E22B7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$16,000</w:t>
            </w:r>
          </w:p>
        </w:tc>
      </w:tr>
      <w:tr w:rsidR="00E22B74" w:rsidRPr="00276E87" w:rsidTr="00A63B2A">
        <w:trPr>
          <w:trHeight w:val="900"/>
        </w:trPr>
        <w:tc>
          <w:tcPr>
            <w:tcW w:w="2002" w:type="dxa"/>
            <w:shd w:val="clear" w:color="auto" w:fill="auto"/>
          </w:tcPr>
          <w:p w:rsidR="00E22B74" w:rsidRDefault="00E22B74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Chaya </w:t>
            </w:r>
            <w:proofErr w:type="spellStart"/>
            <w:r>
              <w:rPr>
                <w:rFonts w:eastAsia="Times New Roman" w:cs="Times New Roman"/>
              </w:rPr>
              <w:t>Gopalan</w:t>
            </w:r>
            <w:proofErr w:type="spellEnd"/>
          </w:p>
        </w:tc>
        <w:tc>
          <w:tcPr>
            <w:tcW w:w="2548" w:type="dxa"/>
            <w:shd w:val="clear" w:color="auto" w:fill="auto"/>
          </w:tcPr>
          <w:p w:rsidR="00E22B74" w:rsidRDefault="00E22B74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School of Education, Health and Human Behavior</w:t>
            </w:r>
          </w:p>
        </w:tc>
        <w:tc>
          <w:tcPr>
            <w:tcW w:w="4823" w:type="dxa"/>
            <w:shd w:val="clear" w:color="auto" w:fill="auto"/>
          </w:tcPr>
          <w:p w:rsidR="00E22B74" w:rsidRPr="00C308C2" w:rsidRDefault="0025701D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Exploration of the Regulation of Sex Differentiation</w:t>
            </w:r>
          </w:p>
        </w:tc>
        <w:tc>
          <w:tcPr>
            <w:tcW w:w="1638" w:type="dxa"/>
            <w:shd w:val="clear" w:color="auto" w:fill="auto"/>
          </w:tcPr>
          <w:p w:rsidR="00E22B74" w:rsidRDefault="0025701D" w:rsidP="00E22B7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$16,000</w:t>
            </w:r>
          </w:p>
        </w:tc>
      </w:tr>
      <w:tr w:rsidR="00E22B74" w:rsidRPr="00276E87" w:rsidTr="00A63B2A">
        <w:trPr>
          <w:trHeight w:val="630"/>
        </w:trPr>
        <w:tc>
          <w:tcPr>
            <w:tcW w:w="2002" w:type="dxa"/>
            <w:shd w:val="clear" w:color="auto" w:fill="auto"/>
          </w:tcPr>
          <w:p w:rsidR="00E22B74" w:rsidRDefault="00E22B74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Guim Kwon</w:t>
            </w:r>
          </w:p>
        </w:tc>
        <w:tc>
          <w:tcPr>
            <w:tcW w:w="2548" w:type="dxa"/>
            <w:shd w:val="clear" w:color="auto" w:fill="auto"/>
          </w:tcPr>
          <w:p w:rsidR="00E22B74" w:rsidRDefault="00E22B74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School of Pharmacy</w:t>
            </w:r>
          </w:p>
        </w:tc>
        <w:tc>
          <w:tcPr>
            <w:tcW w:w="4823" w:type="dxa"/>
            <w:shd w:val="clear" w:color="auto" w:fill="auto"/>
          </w:tcPr>
          <w:p w:rsidR="00E22B74" w:rsidRPr="00C308C2" w:rsidRDefault="0025701D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Prediction of Blood Glucose Levels Using Artificial Neural Network in Diabetic Rats</w:t>
            </w:r>
          </w:p>
        </w:tc>
        <w:tc>
          <w:tcPr>
            <w:tcW w:w="1638" w:type="dxa"/>
            <w:shd w:val="clear" w:color="auto" w:fill="auto"/>
          </w:tcPr>
          <w:p w:rsidR="00E22B74" w:rsidRDefault="0025701D" w:rsidP="00E22B7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$15,944</w:t>
            </w:r>
          </w:p>
        </w:tc>
      </w:tr>
      <w:tr w:rsidR="00E22B74" w:rsidRPr="00276E87" w:rsidTr="00A63B2A">
        <w:trPr>
          <w:trHeight w:val="900"/>
        </w:trPr>
        <w:tc>
          <w:tcPr>
            <w:tcW w:w="2002" w:type="dxa"/>
            <w:shd w:val="clear" w:color="auto" w:fill="auto"/>
          </w:tcPr>
          <w:p w:rsidR="00E22B74" w:rsidRDefault="00E22B74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Danielle Lee</w:t>
            </w:r>
          </w:p>
        </w:tc>
        <w:tc>
          <w:tcPr>
            <w:tcW w:w="2548" w:type="dxa"/>
            <w:shd w:val="clear" w:color="auto" w:fill="auto"/>
          </w:tcPr>
          <w:p w:rsidR="00E22B74" w:rsidRDefault="00E22B74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College of Arts and Sciences</w:t>
            </w:r>
          </w:p>
        </w:tc>
        <w:tc>
          <w:tcPr>
            <w:tcW w:w="4823" w:type="dxa"/>
            <w:shd w:val="clear" w:color="auto" w:fill="auto"/>
          </w:tcPr>
          <w:p w:rsidR="00E22B74" w:rsidRPr="00C308C2" w:rsidRDefault="0025701D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Examining Field Mice Functional Traits, Behavior &amp; Zoonotic-Vector Risk Across Urban Gradients Over Time</w:t>
            </w:r>
          </w:p>
        </w:tc>
        <w:tc>
          <w:tcPr>
            <w:tcW w:w="1638" w:type="dxa"/>
            <w:shd w:val="clear" w:color="auto" w:fill="auto"/>
          </w:tcPr>
          <w:p w:rsidR="00E22B74" w:rsidRDefault="0025701D" w:rsidP="00E22B7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$16,000</w:t>
            </w:r>
          </w:p>
        </w:tc>
      </w:tr>
      <w:tr w:rsidR="00E22B74" w:rsidRPr="00276E87" w:rsidTr="00A63B2A">
        <w:trPr>
          <w:trHeight w:val="720"/>
        </w:trPr>
        <w:tc>
          <w:tcPr>
            <w:tcW w:w="2002" w:type="dxa"/>
            <w:shd w:val="clear" w:color="auto" w:fill="auto"/>
          </w:tcPr>
          <w:p w:rsidR="00E22B74" w:rsidRDefault="00E22B74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Jun Liu</w:t>
            </w:r>
          </w:p>
        </w:tc>
        <w:tc>
          <w:tcPr>
            <w:tcW w:w="2548" w:type="dxa"/>
            <w:shd w:val="clear" w:color="auto" w:fill="auto"/>
          </w:tcPr>
          <w:p w:rsidR="00E22B74" w:rsidRDefault="00E22B74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College of Arts and Sciences</w:t>
            </w:r>
          </w:p>
        </w:tc>
        <w:tc>
          <w:tcPr>
            <w:tcW w:w="4823" w:type="dxa"/>
            <w:shd w:val="clear" w:color="auto" w:fill="auto"/>
          </w:tcPr>
          <w:p w:rsidR="00E22B74" w:rsidRPr="00C308C2" w:rsidRDefault="0025701D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Numerical Algorithms for PDE Dynamical Models of Metastatic Cancers</w:t>
            </w:r>
          </w:p>
        </w:tc>
        <w:tc>
          <w:tcPr>
            <w:tcW w:w="1638" w:type="dxa"/>
            <w:shd w:val="clear" w:color="auto" w:fill="auto"/>
          </w:tcPr>
          <w:p w:rsidR="00E22B74" w:rsidRDefault="0025701D" w:rsidP="00E22B7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$6,283</w:t>
            </w:r>
          </w:p>
        </w:tc>
      </w:tr>
      <w:tr w:rsidR="00E22B74" w:rsidRPr="00276E87" w:rsidTr="00A63B2A">
        <w:trPr>
          <w:trHeight w:val="900"/>
        </w:trPr>
        <w:tc>
          <w:tcPr>
            <w:tcW w:w="2002" w:type="dxa"/>
            <w:shd w:val="clear" w:color="auto" w:fill="auto"/>
          </w:tcPr>
          <w:p w:rsidR="00E22B74" w:rsidRDefault="00E22B74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Adriana Martinez</w:t>
            </w:r>
          </w:p>
        </w:tc>
        <w:tc>
          <w:tcPr>
            <w:tcW w:w="2548" w:type="dxa"/>
            <w:shd w:val="clear" w:color="auto" w:fill="auto"/>
          </w:tcPr>
          <w:p w:rsidR="00E22B74" w:rsidRDefault="00E22B74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College of Arts and Sciences</w:t>
            </w:r>
          </w:p>
        </w:tc>
        <w:tc>
          <w:tcPr>
            <w:tcW w:w="4823" w:type="dxa"/>
            <w:shd w:val="clear" w:color="auto" w:fill="auto"/>
          </w:tcPr>
          <w:p w:rsidR="00E22B74" w:rsidRPr="00C308C2" w:rsidRDefault="0025701D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Landscape Change and Topographic Monitoring in an Estuarine System: Tijuana River Estuary, San Diego, CA </w:t>
            </w:r>
          </w:p>
        </w:tc>
        <w:tc>
          <w:tcPr>
            <w:tcW w:w="1638" w:type="dxa"/>
            <w:shd w:val="clear" w:color="auto" w:fill="auto"/>
          </w:tcPr>
          <w:p w:rsidR="00E22B74" w:rsidRDefault="0025701D" w:rsidP="00E22B7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$11,247</w:t>
            </w:r>
          </w:p>
        </w:tc>
      </w:tr>
      <w:tr w:rsidR="00E22B74" w:rsidRPr="00276E87" w:rsidTr="00A63B2A">
        <w:trPr>
          <w:trHeight w:val="630"/>
        </w:trPr>
        <w:tc>
          <w:tcPr>
            <w:tcW w:w="2002" w:type="dxa"/>
            <w:shd w:val="clear" w:color="auto" w:fill="auto"/>
          </w:tcPr>
          <w:p w:rsidR="00E22B74" w:rsidRDefault="00E22B74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Bill Neumann</w:t>
            </w:r>
          </w:p>
        </w:tc>
        <w:tc>
          <w:tcPr>
            <w:tcW w:w="2548" w:type="dxa"/>
            <w:shd w:val="clear" w:color="auto" w:fill="auto"/>
          </w:tcPr>
          <w:p w:rsidR="00E22B74" w:rsidRDefault="00E22B74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School of Pharmacy</w:t>
            </w:r>
          </w:p>
        </w:tc>
        <w:tc>
          <w:tcPr>
            <w:tcW w:w="4823" w:type="dxa"/>
            <w:shd w:val="clear" w:color="auto" w:fill="auto"/>
          </w:tcPr>
          <w:p w:rsidR="00E22B74" w:rsidRPr="00C308C2" w:rsidRDefault="0025701D" w:rsidP="004C2064">
            <w:pPr>
              <w:spacing w:after="0" w:line="240" w:lineRule="auto"/>
              <w:rPr>
                <w:rFonts w:eastAsia="Times New Roman" w:cs="Times New Roman"/>
              </w:rPr>
            </w:pPr>
            <w:r w:rsidRPr="0025701D">
              <w:rPr>
                <w:rFonts w:eastAsia="Times New Roman" w:cs="Times New Roman"/>
              </w:rPr>
              <w:t xml:space="preserve">Synthetic Studies of Benzo[e]indole Analogues: Total Synthesis of </w:t>
            </w:r>
            <w:proofErr w:type="spellStart"/>
            <w:r w:rsidRPr="0025701D">
              <w:rPr>
                <w:rFonts w:eastAsia="Times New Roman" w:cs="Times New Roman"/>
              </w:rPr>
              <w:t>Cycloclavine</w:t>
            </w:r>
            <w:proofErr w:type="spellEnd"/>
          </w:p>
        </w:tc>
        <w:tc>
          <w:tcPr>
            <w:tcW w:w="1638" w:type="dxa"/>
            <w:shd w:val="clear" w:color="auto" w:fill="auto"/>
          </w:tcPr>
          <w:p w:rsidR="00E22B74" w:rsidRDefault="0025701D" w:rsidP="00E22B7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$15,616</w:t>
            </w:r>
          </w:p>
        </w:tc>
      </w:tr>
      <w:tr w:rsidR="00E22B74" w:rsidRPr="00276E87" w:rsidTr="00A63B2A">
        <w:trPr>
          <w:trHeight w:val="900"/>
        </w:trPr>
        <w:tc>
          <w:tcPr>
            <w:tcW w:w="2002" w:type="dxa"/>
            <w:shd w:val="clear" w:color="auto" w:fill="auto"/>
          </w:tcPr>
          <w:p w:rsidR="00E22B74" w:rsidRDefault="00E22B74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Monica </w:t>
            </w:r>
            <w:proofErr w:type="spellStart"/>
            <w:r>
              <w:rPr>
                <w:rFonts w:eastAsia="Times New Roman" w:cs="Times New Roman"/>
              </w:rPr>
              <w:t>Rieth</w:t>
            </w:r>
            <w:proofErr w:type="spellEnd"/>
          </w:p>
        </w:tc>
        <w:tc>
          <w:tcPr>
            <w:tcW w:w="2548" w:type="dxa"/>
            <w:shd w:val="clear" w:color="auto" w:fill="auto"/>
          </w:tcPr>
          <w:p w:rsidR="00E22B74" w:rsidRDefault="00E22B74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College of Arts and Sciences</w:t>
            </w:r>
          </w:p>
        </w:tc>
        <w:tc>
          <w:tcPr>
            <w:tcW w:w="4823" w:type="dxa"/>
            <w:shd w:val="clear" w:color="auto" w:fill="auto"/>
          </w:tcPr>
          <w:p w:rsidR="00E22B74" w:rsidRPr="00C308C2" w:rsidRDefault="0025701D" w:rsidP="004C2064">
            <w:pPr>
              <w:spacing w:after="0" w:line="240" w:lineRule="auto"/>
              <w:rPr>
                <w:rFonts w:eastAsia="Times New Roman" w:cs="Times New Roman"/>
              </w:rPr>
            </w:pPr>
            <w:r w:rsidRPr="0025701D">
              <w:rPr>
                <w:rFonts w:eastAsia="Times New Roman" w:cs="Times New Roman"/>
              </w:rPr>
              <w:t>Investigating the Molecular/Structural Characteristics of G-protein Coupled Receptor Expression in Saccharomyces cerevisiae</w:t>
            </w:r>
          </w:p>
        </w:tc>
        <w:tc>
          <w:tcPr>
            <w:tcW w:w="1638" w:type="dxa"/>
            <w:shd w:val="clear" w:color="auto" w:fill="auto"/>
          </w:tcPr>
          <w:p w:rsidR="00E22B74" w:rsidRDefault="0025701D" w:rsidP="00E22B7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$10,831</w:t>
            </w:r>
          </w:p>
        </w:tc>
      </w:tr>
      <w:tr w:rsidR="00E22B74" w:rsidRPr="00276E87" w:rsidTr="00A63B2A">
        <w:trPr>
          <w:trHeight w:val="630"/>
        </w:trPr>
        <w:tc>
          <w:tcPr>
            <w:tcW w:w="2002" w:type="dxa"/>
            <w:shd w:val="clear" w:color="auto" w:fill="auto"/>
          </w:tcPr>
          <w:p w:rsidR="00E22B74" w:rsidRDefault="00E22B74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Kevin Tucker</w:t>
            </w:r>
          </w:p>
        </w:tc>
        <w:tc>
          <w:tcPr>
            <w:tcW w:w="2548" w:type="dxa"/>
            <w:shd w:val="clear" w:color="auto" w:fill="auto"/>
          </w:tcPr>
          <w:p w:rsidR="00E22B74" w:rsidRDefault="00E22B74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College of Arts and Sciences</w:t>
            </w:r>
          </w:p>
        </w:tc>
        <w:tc>
          <w:tcPr>
            <w:tcW w:w="4823" w:type="dxa"/>
            <w:shd w:val="clear" w:color="auto" w:fill="auto"/>
          </w:tcPr>
          <w:p w:rsidR="00E22B74" w:rsidRPr="00C308C2" w:rsidRDefault="0025701D" w:rsidP="004C2064">
            <w:pPr>
              <w:spacing w:after="0" w:line="240" w:lineRule="auto"/>
              <w:rPr>
                <w:rFonts w:eastAsia="Times New Roman" w:cs="Times New Roman"/>
              </w:rPr>
            </w:pPr>
            <w:r w:rsidRPr="0025701D">
              <w:rPr>
                <w:rFonts w:eastAsia="Times New Roman" w:cs="Times New Roman"/>
              </w:rPr>
              <w:t>Exploration of Antibiotics in Soil: Method Development and Site Study</w:t>
            </w:r>
          </w:p>
        </w:tc>
        <w:tc>
          <w:tcPr>
            <w:tcW w:w="1638" w:type="dxa"/>
            <w:shd w:val="clear" w:color="auto" w:fill="auto"/>
          </w:tcPr>
          <w:p w:rsidR="00E22B74" w:rsidRDefault="0025701D" w:rsidP="00E22B7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$15,670</w:t>
            </w:r>
          </w:p>
        </w:tc>
      </w:tr>
      <w:tr w:rsidR="00E22B74" w:rsidRPr="00276E87" w:rsidTr="00A63B2A">
        <w:trPr>
          <w:trHeight w:val="900"/>
        </w:trPr>
        <w:tc>
          <w:tcPr>
            <w:tcW w:w="2002" w:type="dxa"/>
            <w:shd w:val="clear" w:color="auto" w:fill="auto"/>
          </w:tcPr>
          <w:p w:rsidR="00E22B74" w:rsidRDefault="00E22B74" w:rsidP="004C2064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Fengxia</w:t>
            </w:r>
            <w:proofErr w:type="spellEnd"/>
            <w:r>
              <w:rPr>
                <w:rFonts w:eastAsia="Times New Roman" w:cs="Times New Roman"/>
              </w:rPr>
              <w:t xml:space="preserve"> Wang</w:t>
            </w:r>
          </w:p>
        </w:tc>
        <w:tc>
          <w:tcPr>
            <w:tcW w:w="2548" w:type="dxa"/>
            <w:shd w:val="clear" w:color="auto" w:fill="auto"/>
          </w:tcPr>
          <w:p w:rsidR="00E22B74" w:rsidRDefault="00E22B74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School of Engineering</w:t>
            </w:r>
          </w:p>
        </w:tc>
        <w:tc>
          <w:tcPr>
            <w:tcW w:w="4823" w:type="dxa"/>
            <w:shd w:val="clear" w:color="auto" w:fill="auto"/>
          </w:tcPr>
          <w:p w:rsidR="00E22B74" w:rsidRPr="00C308C2" w:rsidRDefault="0025701D" w:rsidP="004C2064">
            <w:pPr>
              <w:spacing w:after="0" w:line="240" w:lineRule="auto"/>
              <w:rPr>
                <w:rFonts w:eastAsia="Times New Roman" w:cs="Times New Roman"/>
              </w:rPr>
            </w:pPr>
            <w:r w:rsidRPr="0025701D">
              <w:rPr>
                <w:rFonts w:eastAsia="Times New Roman" w:cs="Times New Roman"/>
              </w:rPr>
              <w:t>Self-Powered Wireless Sensor and Wireless Data Transmission via Micro-Scale Piezoelectric Energy Harvesting based on Frequency-up-Conversion</w:t>
            </w:r>
          </w:p>
        </w:tc>
        <w:tc>
          <w:tcPr>
            <w:tcW w:w="1638" w:type="dxa"/>
            <w:shd w:val="clear" w:color="auto" w:fill="auto"/>
          </w:tcPr>
          <w:p w:rsidR="00E22B74" w:rsidRDefault="000A4A63" w:rsidP="00E22B7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$15,202</w:t>
            </w:r>
          </w:p>
        </w:tc>
      </w:tr>
      <w:tr w:rsidR="00E22B74" w:rsidRPr="00276E87" w:rsidTr="00A63B2A">
        <w:trPr>
          <w:trHeight w:val="900"/>
        </w:trPr>
        <w:tc>
          <w:tcPr>
            <w:tcW w:w="2002" w:type="dxa"/>
            <w:shd w:val="clear" w:color="auto" w:fill="auto"/>
          </w:tcPr>
          <w:p w:rsidR="00E22B74" w:rsidRDefault="00E22B74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Josh Wooten</w:t>
            </w:r>
          </w:p>
        </w:tc>
        <w:tc>
          <w:tcPr>
            <w:tcW w:w="2548" w:type="dxa"/>
            <w:shd w:val="clear" w:color="auto" w:fill="auto"/>
          </w:tcPr>
          <w:p w:rsidR="00E22B74" w:rsidRDefault="00E22B74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School of Education, Health and Human Behavior</w:t>
            </w:r>
          </w:p>
        </w:tc>
        <w:tc>
          <w:tcPr>
            <w:tcW w:w="4823" w:type="dxa"/>
            <w:shd w:val="clear" w:color="auto" w:fill="auto"/>
          </w:tcPr>
          <w:p w:rsidR="00E22B74" w:rsidRPr="00C308C2" w:rsidRDefault="000A4A63" w:rsidP="004C2064">
            <w:pPr>
              <w:spacing w:after="0" w:line="240" w:lineRule="auto"/>
              <w:rPr>
                <w:rFonts w:eastAsia="Times New Roman" w:cs="Times New Roman"/>
              </w:rPr>
            </w:pPr>
            <w:r w:rsidRPr="000A4A63">
              <w:rPr>
                <w:rFonts w:eastAsia="Times New Roman" w:cs="Times New Roman"/>
              </w:rPr>
              <w:t>Role of AMPK Activation on Hepatic Cholesterol Homeostasis and BAMBI Induction</w:t>
            </w:r>
          </w:p>
        </w:tc>
        <w:tc>
          <w:tcPr>
            <w:tcW w:w="1638" w:type="dxa"/>
            <w:shd w:val="clear" w:color="auto" w:fill="auto"/>
          </w:tcPr>
          <w:p w:rsidR="00E22B74" w:rsidRDefault="00240EEB" w:rsidP="00E22B7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</w:t>
            </w:r>
            <w:r w:rsidR="000A4A63">
              <w:rPr>
                <w:rFonts w:eastAsia="Times New Roman" w:cs="Times New Roman"/>
              </w:rPr>
              <w:t>16,000</w:t>
            </w:r>
          </w:p>
        </w:tc>
      </w:tr>
      <w:tr w:rsidR="00E22B74" w:rsidRPr="00276E87" w:rsidTr="00A63B2A">
        <w:trPr>
          <w:trHeight w:val="630"/>
        </w:trPr>
        <w:tc>
          <w:tcPr>
            <w:tcW w:w="2002" w:type="dxa"/>
            <w:shd w:val="clear" w:color="auto" w:fill="auto"/>
          </w:tcPr>
          <w:p w:rsidR="00E22B74" w:rsidRDefault="00E22B74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Nima Lotfi Yagin</w:t>
            </w:r>
          </w:p>
        </w:tc>
        <w:tc>
          <w:tcPr>
            <w:tcW w:w="2548" w:type="dxa"/>
            <w:shd w:val="clear" w:color="auto" w:fill="auto"/>
          </w:tcPr>
          <w:p w:rsidR="00E22B74" w:rsidRDefault="00E22B74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School of Engineering</w:t>
            </w:r>
          </w:p>
        </w:tc>
        <w:tc>
          <w:tcPr>
            <w:tcW w:w="4823" w:type="dxa"/>
            <w:shd w:val="clear" w:color="auto" w:fill="auto"/>
          </w:tcPr>
          <w:p w:rsidR="00E22B74" w:rsidRPr="00C308C2" w:rsidRDefault="000A4A63" w:rsidP="004C2064">
            <w:pPr>
              <w:spacing w:after="0" w:line="240" w:lineRule="auto"/>
              <w:rPr>
                <w:rFonts w:eastAsia="Times New Roman" w:cs="Times New Roman"/>
              </w:rPr>
            </w:pPr>
            <w:r w:rsidRPr="000A4A63">
              <w:rPr>
                <w:rFonts w:eastAsia="Times New Roman" w:cs="Times New Roman"/>
              </w:rPr>
              <w:t>Electrochemical Model-based Fault Diagnostics for Internal Short Circuit Detection in Li-ion Batteries</w:t>
            </w:r>
          </w:p>
        </w:tc>
        <w:tc>
          <w:tcPr>
            <w:tcW w:w="1638" w:type="dxa"/>
            <w:shd w:val="clear" w:color="auto" w:fill="auto"/>
          </w:tcPr>
          <w:p w:rsidR="00E22B74" w:rsidRDefault="00240EEB" w:rsidP="00E22B7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</w:t>
            </w:r>
            <w:r w:rsidR="000A4A63">
              <w:rPr>
                <w:rFonts w:eastAsia="Times New Roman" w:cs="Times New Roman"/>
              </w:rPr>
              <w:t>14,780</w:t>
            </w:r>
          </w:p>
        </w:tc>
      </w:tr>
      <w:tr w:rsidR="00E22B74" w:rsidRPr="00276E87" w:rsidTr="006C7907">
        <w:trPr>
          <w:trHeight w:val="1047"/>
        </w:trPr>
        <w:tc>
          <w:tcPr>
            <w:tcW w:w="2002" w:type="dxa"/>
            <w:shd w:val="clear" w:color="auto" w:fill="auto"/>
          </w:tcPr>
          <w:p w:rsidR="00E22B74" w:rsidRDefault="00E22B74" w:rsidP="004C2064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Kyong</w:t>
            </w:r>
            <w:proofErr w:type="spellEnd"/>
            <w:r>
              <w:rPr>
                <w:rFonts w:eastAsia="Times New Roman" w:cs="Times New Roman"/>
              </w:rPr>
              <w:t>-Sup Yoon</w:t>
            </w:r>
          </w:p>
        </w:tc>
        <w:tc>
          <w:tcPr>
            <w:tcW w:w="2548" w:type="dxa"/>
            <w:shd w:val="clear" w:color="auto" w:fill="auto"/>
          </w:tcPr>
          <w:p w:rsidR="00E22B74" w:rsidRDefault="00E22B74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College of Arts and Sciences </w:t>
            </w:r>
          </w:p>
        </w:tc>
        <w:tc>
          <w:tcPr>
            <w:tcW w:w="4823" w:type="dxa"/>
            <w:shd w:val="clear" w:color="auto" w:fill="auto"/>
          </w:tcPr>
          <w:p w:rsidR="00E22B74" w:rsidRPr="00C308C2" w:rsidRDefault="000A4A63" w:rsidP="004C2064">
            <w:pPr>
              <w:spacing w:after="0" w:line="240" w:lineRule="auto"/>
              <w:rPr>
                <w:rFonts w:eastAsia="Times New Roman" w:cs="Times New Roman"/>
              </w:rPr>
            </w:pPr>
            <w:r w:rsidRPr="000A4A63">
              <w:rPr>
                <w:rFonts w:eastAsia="Times New Roman" w:cs="Times New Roman"/>
              </w:rPr>
              <w:t xml:space="preserve">Do </w:t>
            </w:r>
            <w:proofErr w:type="spellStart"/>
            <w:r w:rsidRPr="000A4A63">
              <w:rPr>
                <w:rFonts w:eastAsia="Times New Roman" w:cs="Times New Roman"/>
              </w:rPr>
              <w:t>Sublethal</w:t>
            </w:r>
            <w:proofErr w:type="spellEnd"/>
            <w:r w:rsidRPr="000A4A63">
              <w:rPr>
                <w:rFonts w:eastAsia="Times New Roman" w:cs="Times New Roman"/>
              </w:rPr>
              <w:t xml:space="preserve"> Exposures to </w:t>
            </w:r>
            <w:proofErr w:type="spellStart"/>
            <w:r w:rsidRPr="000A4A63">
              <w:rPr>
                <w:rFonts w:eastAsia="Times New Roman" w:cs="Times New Roman"/>
              </w:rPr>
              <w:t>Imidacloprid</w:t>
            </w:r>
            <w:proofErr w:type="spellEnd"/>
            <w:r w:rsidRPr="000A4A63">
              <w:rPr>
                <w:rFonts w:eastAsia="Times New Roman" w:cs="Times New Roman"/>
              </w:rPr>
              <w:t xml:space="preserve"> Alter Glucose Homeostasis and Exacerbate Diet-Induced Obesity and Insulin Resistance in </w:t>
            </w:r>
            <w:proofErr w:type="spellStart"/>
            <w:r w:rsidRPr="000A4A63">
              <w:rPr>
                <w:rFonts w:eastAsia="Times New Roman" w:cs="Times New Roman"/>
              </w:rPr>
              <w:t>Drosophilia</w:t>
            </w:r>
            <w:proofErr w:type="spellEnd"/>
            <w:r w:rsidRPr="000A4A63">
              <w:rPr>
                <w:rFonts w:eastAsia="Times New Roman" w:cs="Times New Roman"/>
              </w:rPr>
              <w:t xml:space="preserve"> Melanogaster?</w:t>
            </w:r>
          </w:p>
        </w:tc>
        <w:tc>
          <w:tcPr>
            <w:tcW w:w="1638" w:type="dxa"/>
            <w:shd w:val="clear" w:color="auto" w:fill="auto"/>
          </w:tcPr>
          <w:p w:rsidR="00E22B74" w:rsidRDefault="000A4A63" w:rsidP="00E22B7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$14,996</w:t>
            </w:r>
          </w:p>
        </w:tc>
      </w:tr>
    </w:tbl>
    <w:p w:rsidR="004C2064" w:rsidRDefault="004C2064" w:rsidP="00684163">
      <w:bookmarkStart w:id="0" w:name="_GoBack"/>
      <w:bookmarkEnd w:id="0"/>
    </w:p>
    <w:sectPr w:rsidR="004C20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064" w:rsidRDefault="004C2064" w:rsidP="004C2064">
      <w:pPr>
        <w:spacing w:after="0" w:line="240" w:lineRule="auto"/>
      </w:pPr>
      <w:r>
        <w:separator/>
      </w:r>
    </w:p>
  </w:endnote>
  <w:endnote w:type="continuationSeparator" w:id="0">
    <w:p w:rsidR="004C2064" w:rsidRDefault="004C2064" w:rsidP="004C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B2A" w:rsidRDefault="00A63B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B2A" w:rsidRDefault="00A63B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B2A" w:rsidRDefault="00A63B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064" w:rsidRDefault="004C2064" w:rsidP="004C2064">
      <w:pPr>
        <w:spacing w:after="0" w:line="240" w:lineRule="auto"/>
      </w:pPr>
      <w:r>
        <w:separator/>
      </w:r>
    </w:p>
  </w:footnote>
  <w:footnote w:type="continuationSeparator" w:id="0">
    <w:p w:rsidR="004C2064" w:rsidRDefault="004C2064" w:rsidP="004C2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B2A" w:rsidRDefault="00A63B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064" w:rsidRPr="004C2064" w:rsidRDefault="004C2064" w:rsidP="004C2064">
    <w:pPr>
      <w:pStyle w:val="Header"/>
      <w:jc w:val="center"/>
      <w:rPr>
        <w:b/>
        <w:sz w:val="40"/>
        <w:szCs w:val="40"/>
      </w:rPr>
    </w:pPr>
    <w:r w:rsidRPr="004C2064">
      <w:rPr>
        <w:b/>
        <w:sz w:val="40"/>
        <w:szCs w:val="40"/>
      </w:rPr>
      <w:t>FY 201</w:t>
    </w:r>
    <w:r w:rsidR="00E22B74">
      <w:rPr>
        <w:b/>
        <w:sz w:val="40"/>
        <w:szCs w:val="40"/>
      </w:rPr>
      <w:t>9</w:t>
    </w:r>
    <w:r w:rsidRPr="004C2064">
      <w:rPr>
        <w:b/>
        <w:sz w:val="40"/>
        <w:szCs w:val="40"/>
      </w:rPr>
      <w:t xml:space="preserve"> STEP Grant Awardees</w:t>
    </w:r>
  </w:p>
  <w:p w:rsidR="004C2064" w:rsidRDefault="004C20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B2A" w:rsidRDefault="00A63B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C2"/>
    <w:rsid w:val="000A4A63"/>
    <w:rsid w:val="00240EEB"/>
    <w:rsid w:val="0025701D"/>
    <w:rsid w:val="00276E87"/>
    <w:rsid w:val="00386125"/>
    <w:rsid w:val="004C2064"/>
    <w:rsid w:val="00684163"/>
    <w:rsid w:val="006C7907"/>
    <w:rsid w:val="008A5453"/>
    <w:rsid w:val="00A63B2A"/>
    <w:rsid w:val="00A71148"/>
    <w:rsid w:val="00A83741"/>
    <w:rsid w:val="00A8723C"/>
    <w:rsid w:val="00AD5C21"/>
    <w:rsid w:val="00C308C2"/>
    <w:rsid w:val="00CF6100"/>
    <w:rsid w:val="00E22B74"/>
    <w:rsid w:val="00F12CB4"/>
    <w:rsid w:val="00FA4227"/>
    <w:rsid w:val="00FB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09033E"/>
  <w15:docId w15:val="{F68CDC4F-0DE7-4C03-B1C0-39C79C07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08C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2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064"/>
  </w:style>
  <w:style w:type="paragraph" w:styleId="Footer">
    <w:name w:val="footer"/>
    <w:basedOn w:val="Normal"/>
    <w:link w:val="FooterChar"/>
    <w:uiPriority w:val="99"/>
    <w:unhideWhenUsed/>
    <w:rsid w:val="004C2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064"/>
  </w:style>
  <w:style w:type="paragraph" w:styleId="BalloonText">
    <w:name w:val="Balloon Text"/>
    <w:basedOn w:val="Normal"/>
    <w:link w:val="BalloonTextChar"/>
    <w:uiPriority w:val="99"/>
    <w:semiHidden/>
    <w:unhideWhenUsed/>
    <w:rsid w:val="004C2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SIUE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Lawrence, Lisa</dc:creator>
  <cp:lastModifiedBy>Hernandez, Susan</cp:lastModifiedBy>
  <cp:revision>7</cp:revision>
  <cp:lastPrinted>2015-12-18T14:34:00Z</cp:lastPrinted>
  <dcterms:created xsi:type="dcterms:W3CDTF">2018-02-22T18:27:00Z</dcterms:created>
  <dcterms:modified xsi:type="dcterms:W3CDTF">2018-03-13T20:38:00Z</dcterms:modified>
</cp:coreProperties>
</file>